
<file path=[Content_Types].xml><?xml version="1.0" encoding="utf-8"?>
<Types xmlns="http://schemas.openxmlformats.org/package/2006/content-types">
  <Default Extension="rels" ContentType="application/vnd.openxmlformats-package.relationships+xml"/>
  <Default Extension="jpeg" ContentType="image/jpeg"/>
  <Default Extension="png" ContentType="image/png"/>
  <Default Extension="svg" ContentType="image/svg+xml"/>
  <Default Extension="xml" ContentType="application/xml"/>
  <Default Extension="jpg" ContentType="application/octet-stream"/>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settings.xml" ContentType="application/vnd.openxmlformats-officedocument.wordprocessingml.settings+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a="http://schemas.openxmlformats.org/drawingml/2006/main" xmlns:cdr="http://schemas.openxmlformats.org/drawingml/2006/chartDrawing" xmlns:o="urn:schemas-microsoft-com:office:office" xmlns:pic="http://schemas.openxmlformats.org/drawingml/2006/picture" xmlns:r="http://schemas.openxmlformats.org/officeDocument/2006/relationships" xmlns:m="http://schemas.openxmlformats.org/officeDocument/2006/math" xmlns:v="urn:schemas-microsoft-com:vml" xmlns:ve="http://schemas.openxmlformats.org/markup-compatibility/2006" xmlns:vt="http://schemas.openxmlformats.org/officeDocument/2006/docPropsVTypes" xmlns:w="http://schemas.openxmlformats.org/wordprocessingml/2006/main" xmlns:w10="urn:schemas-microsoft-com:office:word" xmlns:wp="http://schemas.openxmlformats.org/drawingml/2006/wordprocessingDrawing" xmlns:wne="http://schemas.microsoft.com/office/word/2006/wordml" xmlns:a14="http://schemas.microsoft.com/office/drawing/2010/main" xmlns:asvg="http://schemas.microsoft.com/office/drawing/2016/SVG/main">
  <w:body>
    <w:p>
      <w:pPr>
        <w:spacing w:line="360" w:after="0" w:lineRule="auto"/>
      </w:pPr>
      <w:r>
        <w:rPr>
          <w:rFonts w:eastAsia="inter" w:cs="inter" w:ascii="inter" w:hAnsi="inter"/>
          <w:color w:val="000000"/>
        </w:rPr>
        <w:drawing>
          <wp:inline distB="0" distL="0" distR="0" distT="0">
            <wp:extent cx="2420112" cy="609600"/>
            <wp:effectExtent b="0" l="0" r="0" t="0"/>
            <wp:docPr id="1" name="image-07c5a76b3c753cb3a8f67a10dbc9597118bb2e84.png"/>
            <a:graphic>
              <a:graphicData uri="http://schemas.openxmlformats.org/drawingml/2006/picture">
                <pic:pic>
                  <pic:nvPicPr>
                    <pic:cNvPr id="1" name="image-07c5a76b3c753cb3a8f67a10dbc9597118bb2e84.png" descr=""/>
                    <pic:cNvPicPr/>
                  </pic:nvPicPr>
                  <pic:blipFill>
                    <a:blip r:embed="rId5" cstate="print"/>
                    <a:srcRect b="0" l="0" r="0" t="0"/>
                    <a:stretch>
                      <a:fillRect/>
                    </a:stretch>
                  </pic:blipFill>
                  <pic:spPr>
                    <a:xfrm>
                      <a:off x="0" y="0"/>
                      <a:ext cx="2420112" cy="609600"/>
                    </a:xfrm>
                    <a:prstGeom prst="rect"/>
                  </pic:spPr>
                </pic:pic>
              </a:graphicData>
            </a:graphic>
          </wp:inline>
        </w:drawing>
      </w:r>
    </w:p>
    <w:p>
      <w:pPr>
        <w:spacing w:line="270" w:before="157.5" w:after="157.5" w:lineRule="auto"/>
        <w:jc w:val="left"/>
      </w:pPr>
      <w:bookmarkStart w:id="0" w:name="crée_un_prompt_optimisé_pour_réal_3347e2"/>
      <w:r>
        <w:rPr>
          <w:rFonts w:eastAsia="inter" w:cs="inter" w:ascii="inter" w:hAnsi="inter"/>
          <w:b/>
          <w:color w:val="000000"/>
          <w:sz w:val="39"/>
        </w:rPr>
        <w:t xml:space="preserve">crée un prompt optimisé pour réaliser l'étape 0 et 1 avec Claude sonnet reflexion et la méthode réAct recommandée</w:t>
      </w:r>
      <w:bookmarkEnd w:id="0"/>
    </w:p>
    <w:p>
      <w:pPr>
        <w:spacing w:line="360" w:after="210" w:lineRule="auto"/>
      </w:pPr>
      <w:r>
        <w:rPr>
          <w:rFonts w:eastAsia="inter" w:cs="inter" w:ascii="inter" w:hAnsi="inter"/>
          <w:color w:val="000000"/>
        </w:rPr>
        <w:t xml:space="preserve">Voici un prompt optimisé (TXT, prêt à copier) pour exécuter l’Étape 0 et 1 avec Claude Sonnet Reflexion en méthode ReAct.</w:t>
      </w:r>
    </w:p>
    <w:p>
      <w:pPr>
        <w:spacing w:line="360" w:after="210" w:lineRule="auto"/>
      </w:pPr>
      <w:r>
        <w:rPr>
          <w:rFonts w:eastAsia="inter" w:cs="inter" w:ascii="inter" w:hAnsi="inter"/>
          <w:color w:val="000000"/>
        </w:rPr>
        <w:t xml:space="preserve">Titre: Cadre projet et problématisation – Démantèlement ARRONAX 241B</w:t>
      </w:r>
      <w:bookmarkStart w:id="1" w:name="fnref1"/>
      <w:bookmarkEnd w:id="1"/>
      <w:hyperlink w:anchor="fn1">
        <w:r>
          <w:rPr>
            <w:rFonts w:eastAsia="inter" w:cs="inter" w:ascii="inter" w:hAnsi="inter"/>
            <w:color w:val="#000"/>
            <w:u w:val="single"/>
            <w:vertAlign w:val="superscript"/>
          </w:rPr>
          <w:t xml:space="preserve">[1]</w:t>
        </w:r>
      </w:hyperlink>
    </w:p>
    <w:p>
      <w:pPr>
        <w:spacing w:line="360" w:after="210" w:lineRule="auto"/>
      </w:pPr>
      <w:r>
        <w:rPr>
          <w:rFonts w:eastAsia="inter" w:cs="inter" w:ascii="inter" w:hAnsi="inter"/>
          <w:color w:val="000000"/>
        </w:rPr>
        <w:t xml:space="preserve">Rôle:</w:t>
      </w:r>
      <w:r>
        <w:rPr>
          <w:rFonts w:eastAsia="inter" w:cs="inter" w:ascii="inter" w:hAnsi="inter"/>
          <w:color w:val="000000"/>
        </w:rPr>
        <w:br w:type="textWrapping"/>
      </w:r>
      <w:r>
        <w:rPr>
          <w:rFonts w:eastAsia="inter" w:cs="inter" w:ascii="inter" w:hAnsi="inter"/>
          <w:color w:val="000000"/>
        </w:rPr>
        <w:t xml:space="preserve">Tu es un ingénieur chef de projet démantèlement et radioprotection, chargé de cadrer le projet (gouvernance, jalons, Gantt, RACI) et de formuler le problème (hypothèses, périmètre, objectifs multi‑critères) pour la cellule 241B d’ARRONAX, en mode ReAct avec Reflexion activé.</w:t>
      </w:r>
      <w:bookmarkStart w:id="2" w:name="fnref1_1"/>
      <w:bookmarkEnd w:id="2"/>
      <w:hyperlink w:anchor="fn1">
        <w:r>
          <w:rPr>
            <w:rFonts w:eastAsia="inter" w:cs="inter" w:ascii="inter" w:hAnsi="inter"/>
            <w:color w:val="#000"/>
            <w:u w:val="single"/>
            <w:vertAlign w:val="superscript"/>
          </w:rPr>
          <w:t xml:space="preserve">[1]</w:t>
        </w:r>
      </w:hyperlink>
    </w:p>
    <w:p>
      <w:pPr>
        <w:spacing w:line="360" w:after="210" w:lineRule="auto"/>
      </w:pPr>
      <w:r>
        <w:rPr>
          <w:rFonts w:eastAsia="inter" w:cs="inter" w:ascii="inter" w:hAnsi="inter"/>
          <w:color w:val="000000"/>
        </w:rPr>
        <w:t xml:space="preserve">Contexte clé:</w:t>
      </w:r>
    </w:p>
    <w:p>
      <w:pPr>
        <w:numPr>
          <w:ilvl w:val="0"/>
          <w:numId w:val="1"/>
        </w:numPr>
        <w:spacing w:line="360" w:before="105" w:after="105" w:lineRule="auto"/>
      </w:pPr>
      <w:r>
        <w:rPr>
          <w:rFonts w:eastAsia="inter" w:cs="inter" w:ascii="inter" w:hAnsi="inter"/>
          <w:color w:val="000000"/>
          <w:sz w:val="21"/>
        </w:rPr>
        <w:t xml:space="preserve">Cellule 241B: station active de stockage/transfert d’effluents, 3 cuves de l’ordre de 8 m³ en moyenne (géométries Annexe 1), acier 4 mm; incohérence Annexe 2 «100 L» à documenter et corriger.</w:t>
      </w:r>
      <w:bookmarkStart w:id="3" w:name="fnref1_2"/>
      <w:bookmarkEnd w:id="3"/>
      <w:hyperlink w:anchor="fn1">
        <w:r>
          <w:rPr>
            <w:rFonts w:eastAsia="inter" w:cs="inter" w:ascii="inter" w:hAnsi="inter"/>
            <w:color w:val="#000"/>
            <w:sz w:val="21"/>
            <w:u w:val="single"/>
            <w:vertAlign w:val="superscript"/>
          </w:rPr>
          <w:t xml:space="preserve">[1]</w:t>
        </w:r>
      </w:hyperlink>
    </w:p>
    <w:p>
      <w:pPr>
        <w:numPr>
          <w:ilvl w:val="0"/>
          <w:numId w:val="1"/>
        </w:numPr>
        <w:spacing w:line="360" w:before="105" w:after="105" w:lineRule="auto"/>
      </w:pPr>
      <w:r>
        <w:rPr>
          <w:rFonts w:eastAsia="inter" w:cs="inter" w:ascii="inter" w:hAnsi="inter"/>
          <w:color w:val="000000"/>
          <w:sz w:val="21"/>
        </w:rPr>
        <w:t xml:space="preserve">Production radionucléides: 82Sr/chaîne Rb avec incidents de percement (T0-40, -23, -3), 99mTc (24 MeV, 100 µA, 6 h, 3×/semaine, pertes 2 cibles/mois), tritium notable cuve 3.</w:t>
      </w:r>
      <w:bookmarkStart w:id="4" w:name="fnref1_3"/>
      <w:bookmarkEnd w:id="4"/>
      <w:hyperlink w:anchor="fn1">
        <w:r>
          <w:rPr>
            <w:rFonts w:eastAsia="inter" w:cs="inter" w:ascii="inter" w:hAnsi="inter"/>
            <w:color w:val="#000"/>
            <w:sz w:val="21"/>
            <w:u w:val="single"/>
            <w:vertAlign w:val="superscript"/>
          </w:rPr>
          <w:t xml:space="preserve">[1]</w:t>
        </w:r>
      </w:hyperlink>
    </w:p>
    <w:p>
      <w:pPr>
        <w:numPr>
          <w:ilvl w:val="0"/>
          <w:numId w:val="1"/>
        </w:numPr>
        <w:spacing w:line="360" w:before="105" w:after="105" w:lineRule="auto"/>
      </w:pPr>
      <w:r>
        <w:rPr>
          <w:rFonts w:eastAsia="inter" w:cs="inter" w:ascii="inter" w:hAnsi="inter"/>
          <w:color w:val="000000"/>
          <w:sz w:val="21"/>
        </w:rPr>
        <w:t xml:space="preserve">Exigences livrables: zoning radiologique, estimation isotopique indépendante, cartographie dose (formule point-source fournie), comparaison DEM+ et Monte Carlo, Gantt, et critères RFQ 40% technique / 40% financier / 20% impact activité.</w:t>
      </w:r>
      <w:bookmarkStart w:id="5" w:name="fnref1_4"/>
      <w:bookmarkEnd w:id="5"/>
      <w:hyperlink w:anchor="fn1">
        <w:r>
          <w:rPr>
            <w:rFonts w:eastAsia="inter" w:cs="inter" w:ascii="inter" w:hAnsi="inter"/>
            <w:color w:val="#000"/>
            <w:sz w:val="21"/>
            <w:u w:val="single"/>
            <w:vertAlign w:val="superscript"/>
          </w:rPr>
          <w:t xml:space="preserve">[1]</w:t>
        </w:r>
      </w:hyperlink>
    </w:p>
    <w:p>
      <w:pPr>
        <w:spacing w:line="360" w:after="210" w:lineRule="auto"/>
      </w:pPr>
      <w:r>
        <w:rPr>
          <w:rFonts w:eastAsia="inter" w:cs="inter" w:ascii="inter" w:hAnsi="inter"/>
          <w:color w:val="000000"/>
        </w:rPr>
        <w:t xml:space="preserve">Objectif Étape 0 (Cadre projet):</w:t>
      </w:r>
    </w:p>
    <w:p>
      <w:pPr>
        <w:numPr>
          <w:ilvl w:val="0"/>
          <w:numId w:val="2"/>
        </w:numPr>
        <w:spacing w:line="360" w:before="105" w:after="105" w:lineRule="auto"/>
      </w:pPr>
      <w:r>
        <w:rPr>
          <w:rFonts w:eastAsia="inter" w:cs="inter" w:ascii="inter" w:hAnsi="inter"/>
          <w:color w:val="000000"/>
          <w:sz w:val="21"/>
        </w:rPr>
        <w:t xml:space="preserve">Produire: organigramme synthétique, RACI, jalons, Gantt à 8–12 semaines, plan de synchronisation RP↔démantèlement, registre des hypothèses et des changements (incluant correction volumes).</w:t>
      </w:r>
      <w:bookmarkStart w:id="6" w:name="fnref1_5"/>
      <w:bookmarkEnd w:id="6"/>
      <w:hyperlink w:anchor="fn1">
        <w:r>
          <w:rPr>
            <w:rFonts w:eastAsia="inter" w:cs="inter" w:ascii="inter" w:hAnsi="inter"/>
            <w:color w:val="#000"/>
            <w:sz w:val="21"/>
            <w:u w:val="single"/>
            <w:vertAlign w:val="superscript"/>
          </w:rPr>
          <w:t xml:space="preserve">[1]</w:t>
        </w:r>
      </w:hyperlink>
    </w:p>
    <w:p>
      <w:pPr>
        <w:numPr>
          <w:ilvl w:val="0"/>
          <w:numId w:val="2"/>
        </w:numPr>
        <w:spacing w:line="360" w:before="105" w:after="105" w:lineRule="auto"/>
      </w:pPr>
      <w:r>
        <w:rPr>
          <w:rFonts w:eastAsia="inter" w:cs="inter" w:ascii="inter" w:hAnsi="inter"/>
          <w:color w:val="000000"/>
          <w:sz w:val="21"/>
        </w:rPr>
        <w:t xml:space="preserve">Contraintes: intégrer accès chantier, interférences site, phasage vidange/confinement/découpe, et préparation données DEM+/MC.</w:t>
      </w:r>
      <w:bookmarkStart w:id="7" w:name="fnref1_6"/>
      <w:bookmarkEnd w:id="7"/>
      <w:hyperlink w:anchor="fn1">
        <w:r>
          <w:rPr>
            <w:rFonts w:eastAsia="inter" w:cs="inter" w:ascii="inter" w:hAnsi="inter"/>
            <w:color w:val="#000"/>
            <w:sz w:val="21"/>
            <w:u w:val="single"/>
            <w:vertAlign w:val="superscript"/>
          </w:rPr>
          <w:t xml:space="preserve">[1]</w:t>
        </w:r>
      </w:hyperlink>
    </w:p>
    <w:p>
      <w:pPr>
        <w:spacing w:line="360" w:after="210" w:lineRule="auto"/>
      </w:pPr>
      <w:r>
        <w:rPr>
          <w:rFonts w:eastAsia="inter" w:cs="inter" w:ascii="inter" w:hAnsi="inter"/>
          <w:color w:val="000000"/>
        </w:rPr>
        <w:t xml:space="preserve">Objectif Étape 1 (Problématisation):</w:t>
      </w:r>
    </w:p>
    <w:p>
      <w:pPr>
        <w:numPr>
          <w:ilvl w:val="0"/>
          <w:numId w:val="3"/>
        </w:numPr>
        <w:spacing w:line="360" w:before="105" w:after="105" w:lineRule="auto"/>
      </w:pPr>
      <w:r>
        <w:rPr>
          <w:rFonts w:eastAsia="inter" w:cs="inter" w:ascii="inter" w:hAnsi="inter"/>
          <w:color w:val="000000"/>
          <w:sz w:val="21"/>
        </w:rPr>
        <w:t xml:space="preserve">Fixer hypothèses initiales:</w:t>
      </w:r>
    </w:p>
    <w:p>
      <w:pPr>
        <w:numPr>
          <w:ilvl w:val="1"/>
          <w:numId w:val="3"/>
        </w:numPr>
        <w:spacing w:line="360" w:before="105" w:after="105" w:lineRule="auto"/>
      </w:pPr>
      <w:r>
        <w:rPr>
          <w:rFonts w:eastAsia="inter" w:cs="inter" w:ascii="inter" w:hAnsi="inter"/>
          <w:color w:val="000000"/>
          <w:sz w:val="21"/>
        </w:rPr>
        <w:t xml:space="preserve">Modèle source: cartographie initiale en source ponctuelle équivalente; affinement proximité en source volumique (cylindre) pour cuves ~8 m³.</w:t>
      </w:r>
      <w:bookmarkStart w:id="8" w:name="fnref1_7"/>
      <w:bookmarkEnd w:id="8"/>
      <w:hyperlink w:anchor="fn1">
        <w:r>
          <w:rPr>
            <w:rFonts w:eastAsia="inter" w:cs="inter" w:ascii="inter" w:hAnsi="inter"/>
            <w:color w:val="#000"/>
            <w:sz w:val="21"/>
            <w:u w:val="single"/>
            <w:vertAlign w:val="superscript"/>
          </w:rPr>
          <w:t xml:space="preserve">[1]</w:t>
        </w:r>
      </w:hyperlink>
    </w:p>
    <w:p>
      <w:pPr>
        <w:numPr>
          <w:ilvl w:val="1"/>
          <w:numId w:val="3"/>
        </w:numPr>
        <w:spacing w:line="360" w:before="105" w:after="105" w:lineRule="auto"/>
      </w:pPr>
      <w:r>
        <w:rPr>
          <w:rFonts w:eastAsia="inter" w:cs="inter" w:ascii="inter" w:hAnsi="inter"/>
          <w:color w:val="000000"/>
          <w:sz w:val="21"/>
        </w:rPr>
        <w:t xml:space="preserve">Matériaux/écrans: acier 4 mm, murs 1,375 m, bremsstrahlung négligé, buildup documenté.</w:t>
      </w:r>
      <w:bookmarkStart w:id="9" w:name="fnref1_8"/>
      <w:bookmarkEnd w:id="9"/>
      <w:hyperlink w:anchor="fn1">
        <w:r>
          <w:rPr>
            <w:rFonts w:eastAsia="inter" w:cs="inter" w:ascii="inter" w:hAnsi="inter"/>
            <w:color w:val="#000"/>
            <w:sz w:val="21"/>
            <w:u w:val="single"/>
            <w:vertAlign w:val="superscript"/>
          </w:rPr>
          <w:t xml:space="preserve">[1]</w:t>
        </w:r>
      </w:hyperlink>
    </w:p>
    <w:p>
      <w:pPr>
        <w:numPr>
          <w:ilvl w:val="1"/>
          <w:numId w:val="3"/>
        </w:numPr>
        <w:spacing w:line="360" w:before="105" w:after="105" w:lineRule="auto"/>
      </w:pPr>
      <w:r>
        <w:rPr>
          <w:rFonts w:eastAsia="inter" w:cs="inter" w:ascii="inter" w:hAnsi="inter"/>
          <w:color w:val="000000"/>
          <w:sz w:val="21"/>
        </w:rPr>
        <w:t xml:space="preserve">Données: utiliser NNDC/NuDat (lignes gamma, BR), EXFOR/TENDL (sections), NIST/SRIM (µ/ρ, dE/dx), RYC (rendements cibles épaisses).</w:t>
      </w:r>
      <w:bookmarkStart w:id="10" w:name="fnref1_9"/>
      <w:bookmarkEnd w:id="10"/>
      <w:hyperlink w:anchor="fn1">
        <w:r>
          <w:rPr>
            <w:rFonts w:eastAsia="inter" w:cs="inter" w:ascii="inter" w:hAnsi="inter"/>
            <w:color w:val="#000"/>
            <w:sz w:val="21"/>
            <w:u w:val="single"/>
            <w:vertAlign w:val="superscript"/>
          </w:rPr>
          <w:t xml:space="preserve">[1]</w:t>
        </w:r>
      </w:hyperlink>
    </w:p>
    <w:p>
      <w:pPr>
        <w:numPr>
          <w:ilvl w:val="0"/>
          <w:numId w:val="3"/>
        </w:numPr>
        <w:spacing w:line="360" w:before="105" w:after="105" w:lineRule="auto"/>
      </w:pPr>
      <w:r>
        <w:rPr>
          <w:rFonts w:eastAsia="inter" w:cs="inter" w:ascii="inter" w:hAnsi="inter"/>
          <w:color w:val="000000"/>
          <w:sz w:val="21"/>
        </w:rPr>
        <w:t xml:space="preserve">Définir périmètre, points de contrôle (distances), instruments de mesure envisagés, critères ALARA, objectifs multi‑critères (dose collective/individuelle, coût, durée, déchets, impact site).</w:t>
      </w:r>
      <w:bookmarkStart w:id="11" w:name="fnref1_10"/>
      <w:bookmarkEnd w:id="11"/>
      <w:hyperlink w:anchor="fn1">
        <w:r>
          <w:rPr>
            <w:rFonts w:eastAsia="inter" w:cs="inter" w:ascii="inter" w:hAnsi="inter"/>
            <w:color w:val="#000"/>
            <w:sz w:val="21"/>
            <w:u w:val="single"/>
            <w:vertAlign w:val="superscript"/>
          </w:rPr>
          <w:t xml:space="preserve">[1]</w:t>
        </w:r>
      </w:hyperlink>
    </w:p>
    <w:p>
      <w:pPr>
        <w:numPr>
          <w:ilvl w:val="0"/>
          <w:numId w:val="3"/>
        </w:numPr>
        <w:spacing w:line="360" w:before="105" w:after="105" w:lineRule="auto"/>
      </w:pPr>
      <w:r>
        <w:rPr>
          <w:rFonts w:eastAsia="inter" w:cs="inter" w:ascii="inter" w:hAnsi="inter"/>
          <w:color w:val="000000"/>
          <w:sz w:val="21"/>
        </w:rPr>
        <w:t xml:space="preserve">Produire une matrice risques/opportunités et une liste d’incertitudes à réduire (volumes exacts, hauteurs de liquide, dépôts).</w:t>
      </w:r>
      <w:bookmarkStart w:id="12" w:name="fnref1_11"/>
      <w:bookmarkEnd w:id="12"/>
      <w:hyperlink w:anchor="fn1">
        <w:r>
          <w:rPr>
            <w:rFonts w:eastAsia="inter" w:cs="inter" w:ascii="inter" w:hAnsi="inter"/>
            <w:color w:val="#000"/>
            <w:sz w:val="21"/>
            <w:u w:val="single"/>
            <w:vertAlign w:val="superscript"/>
          </w:rPr>
          <w:t xml:space="preserve">[1]</w:t>
        </w:r>
      </w:hyperlink>
    </w:p>
    <w:p>
      <w:pPr>
        <w:spacing w:line="360" w:after="210" w:lineRule="auto"/>
      </w:pPr>
      <w:r>
        <w:rPr>
          <w:rFonts w:eastAsia="inter" w:cs="inter" w:ascii="inter" w:hAnsi="inter"/>
          <w:color w:val="000000"/>
        </w:rPr>
        <w:t xml:space="preserve">Méthode (ReAct + Reflexion):</w:t>
      </w:r>
    </w:p>
    <w:p>
      <w:pPr>
        <w:numPr>
          <w:ilvl w:val="0"/>
          <w:numId w:val="4"/>
        </w:numPr>
        <w:spacing w:line="360" w:before="105" w:after="105" w:lineRule="auto"/>
      </w:pPr>
      <w:r>
        <w:rPr>
          <w:rFonts w:eastAsia="inter" w:cs="inter" w:ascii="inter" w:hAnsi="inter"/>
          <w:color w:val="000000"/>
          <w:sz w:val="21"/>
        </w:rPr>
        <w:t xml:space="preserve">Reasoning: énonce les hypothèses, décisions de cadrage et justifications.</w:t>
      </w:r>
      <w:bookmarkStart w:id="13" w:name="fnref1_12"/>
      <w:bookmarkEnd w:id="13"/>
      <w:hyperlink w:anchor="fn1">
        <w:r>
          <w:rPr>
            <w:rFonts w:eastAsia="inter" w:cs="inter" w:ascii="inter" w:hAnsi="inter"/>
            <w:color w:val="#000"/>
            <w:sz w:val="21"/>
            <w:u w:val="single"/>
            <w:vertAlign w:val="superscript"/>
          </w:rPr>
          <w:t xml:space="preserve">[1]</w:t>
        </w:r>
      </w:hyperlink>
    </w:p>
    <w:p>
      <w:pPr>
        <w:numPr>
          <w:ilvl w:val="0"/>
          <w:numId w:val="4"/>
        </w:numPr>
        <w:spacing w:line="360" w:before="105" w:after="105" w:lineRule="auto"/>
      </w:pPr>
      <w:r>
        <w:rPr>
          <w:rFonts w:eastAsia="inter" w:cs="inter" w:ascii="inter" w:hAnsi="inter"/>
          <w:color w:val="000000"/>
          <w:sz w:val="21"/>
        </w:rPr>
        <w:t xml:space="preserve">Acting: générer RACI, jalons, Gantt, registre des hypothèses; formaliser les hypothèses physiques et sources de données.</w:t>
      </w:r>
      <w:bookmarkStart w:id="14" w:name="fnref1_13"/>
      <w:bookmarkEnd w:id="14"/>
      <w:hyperlink w:anchor="fn1">
        <w:r>
          <w:rPr>
            <w:rFonts w:eastAsia="inter" w:cs="inter" w:ascii="inter" w:hAnsi="inter"/>
            <w:color w:val="#000"/>
            <w:sz w:val="21"/>
            <w:u w:val="single"/>
            <w:vertAlign w:val="superscript"/>
          </w:rPr>
          <w:t xml:space="preserve">[1]</w:t>
        </w:r>
      </w:hyperlink>
    </w:p>
    <w:p>
      <w:pPr>
        <w:numPr>
          <w:ilvl w:val="0"/>
          <w:numId w:val="4"/>
        </w:numPr>
        <w:spacing w:line="360" w:before="105" w:after="105" w:lineRule="auto"/>
      </w:pPr>
      <w:r>
        <w:rPr>
          <w:rFonts w:eastAsia="inter" w:cs="inter" w:ascii="inter" w:hAnsi="inter"/>
          <w:color w:val="000000"/>
          <w:sz w:val="21"/>
        </w:rPr>
        <w:t xml:space="preserve">Observation: relever incohérences (ex. 100 L), impacts et actions correctives.</w:t>
      </w:r>
      <w:bookmarkStart w:id="15" w:name="fnref1_14"/>
      <w:bookmarkEnd w:id="15"/>
      <w:hyperlink w:anchor="fn1">
        <w:r>
          <w:rPr>
            <w:rFonts w:eastAsia="inter" w:cs="inter" w:ascii="inter" w:hAnsi="inter"/>
            <w:color w:val="#000"/>
            <w:sz w:val="21"/>
            <w:u w:val="single"/>
            <w:vertAlign w:val="superscript"/>
          </w:rPr>
          <w:t xml:space="preserve">[1]</w:t>
        </w:r>
      </w:hyperlink>
    </w:p>
    <w:p>
      <w:pPr>
        <w:numPr>
          <w:ilvl w:val="0"/>
          <w:numId w:val="4"/>
        </w:numPr>
        <w:spacing w:line="360" w:before="105" w:after="105" w:lineRule="auto"/>
      </w:pPr>
      <w:r>
        <w:rPr>
          <w:rFonts w:eastAsia="inter" w:cs="inter" w:ascii="inter" w:hAnsi="inter"/>
          <w:color w:val="000000"/>
          <w:sz w:val="21"/>
        </w:rPr>
        <w:t xml:space="preserve">Reflexion: auto‑revue des hypothèses sensibles (volumes, modèle source, buildup, unités), reformulation plus sûre si besoin.</w:t>
      </w:r>
      <w:bookmarkStart w:id="16" w:name="fnref1_15"/>
      <w:bookmarkEnd w:id="16"/>
      <w:hyperlink w:anchor="fn1">
        <w:r>
          <w:rPr>
            <w:rFonts w:eastAsia="inter" w:cs="inter" w:ascii="inter" w:hAnsi="inter"/>
            <w:color w:val="#000"/>
            <w:sz w:val="21"/>
            <w:u w:val="single"/>
            <w:vertAlign w:val="superscript"/>
          </w:rPr>
          <w:t xml:space="preserve">[1]</w:t>
        </w:r>
      </w:hyperlink>
    </w:p>
    <w:p>
      <w:pPr>
        <w:spacing w:line="360" w:after="210" w:lineRule="auto"/>
      </w:pPr>
      <w:r>
        <w:rPr>
          <w:rFonts w:eastAsia="inter" w:cs="inter" w:ascii="inter" w:hAnsi="inter"/>
          <w:color w:val="000000"/>
        </w:rPr>
        <w:t xml:space="preserve">Contraintes de sortie (format TXT structuré):</w:t>
      </w:r>
    </w:p>
    <w:p>
      <w:pPr>
        <w:numPr>
          <w:ilvl w:val="0"/>
          <w:numId w:val="5"/>
        </w:numPr>
        <w:spacing w:line="360" w:before="105" w:after="105" w:lineRule="auto"/>
      </w:pPr>
      <w:r>
        <w:rPr>
          <w:rFonts w:eastAsia="inter" w:cs="inter" w:ascii="inter" w:hAnsi="inter"/>
          <w:color w:val="000000"/>
          <w:sz w:val="21"/>
        </w:rPr>
        <w:t xml:space="preserve">Sections: Introduction, Gouvernance (organigramme, RACI), Jalons &amp; Gantt (texte + liste datée), Registre des hypothèses, Problématisation (modèles, données, points de contrôle), Risques/Incidents, Plan de synchronisation RP↔DEM+/MC, Actions prochaines.</w:t>
      </w:r>
      <w:bookmarkStart w:id="17" w:name="fnref1_16"/>
      <w:bookmarkEnd w:id="17"/>
      <w:hyperlink w:anchor="fn1">
        <w:r>
          <w:rPr>
            <w:rFonts w:eastAsia="inter" w:cs="inter" w:ascii="inter" w:hAnsi="inter"/>
            <w:color w:val="#000"/>
            <w:sz w:val="21"/>
            <w:u w:val="single"/>
            <w:vertAlign w:val="superscript"/>
          </w:rPr>
          <w:t xml:space="preserve">[1]</w:t>
        </w:r>
      </w:hyperlink>
    </w:p>
    <w:p>
      <w:pPr>
        <w:numPr>
          <w:ilvl w:val="0"/>
          <w:numId w:val="5"/>
        </w:numPr>
        <w:spacing w:line="360" w:before="105" w:after="105" w:lineRule="auto"/>
      </w:pPr>
      <w:r>
        <w:rPr>
          <w:rFonts w:eastAsia="inter" w:cs="inter" w:ascii="inter" w:hAnsi="inter"/>
          <w:color w:val="000000"/>
          <w:sz w:val="21"/>
        </w:rPr>
        <w:t xml:space="preserve">Style: concis, actionnable, horodaté T0, liste à puces plates, unités SI, aucun tableau complexe.</w:t>
      </w:r>
      <w:bookmarkStart w:id="18" w:name="fnref1_17"/>
      <w:bookmarkEnd w:id="18"/>
      <w:hyperlink w:anchor="fn1">
        <w:r>
          <w:rPr>
            <w:rFonts w:eastAsia="inter" w:cs="inter" w:ascii="inter" w:hAnsi="inter"/>
            <w:color w:val="#000"/>
            <w:sz w:val="21"/>
            <w:u w:val="single"/>
            <w:vertAlign w:val="superscript"/>
          </w:rPr>
          <w:t xml:space="preserve">[1]</w:t>
        </w:r>
      </w:hyperlink>
    </w:p>
    <w:p>
      <w:pPr>
        <w:numPr>
          <w:ilvl w:val="0"/>
          <w:numId w:val="5"/>
        </w:numPr>
        <w:spacing w:line="360" w:before="105" w:after="105" w:lineRule="auto"/>
      </w:pPr>
      <w:r>
        <w:rPr>
          <w:rFonts w:eastAsia="inter" w:cs="inter" w:ascii="inter" w:hAnsi="inter"/>
          <w:color w:val="000000"/>
          <w:sz w:val="21"/>
        </w:rPr>
        <w:t xml:space="preserve">Inclure note de conformité: «Incohérence Annexe 2 (100 L) corrigée par Annexe 1; cuves traitées comme ~8 m³ en moyenne; vérification géométrique à planifier.»</w:t>
      </w:r>
      <w:bookmarkStart w:id="19" w:name="fnref1_18"/>
      <w:bookmarkEnd w:id="19"/>
      <w:hyperlink w:anchor="fn1">
        <w:r>
          <w:rPr>
            <w:rFonts w:eastAsia="inter" w:cs="inter" w:ascii="inter" w:hAnsi="inter"/>
            <w:color w:val="#000"/>
            <w:sz w:val="21"/>
            <w:u w:val="single"/>
            <w:vertAlign w:val="superscript"/>
          </w:rPr>
          <w:t xml:space="preserve">[1]</w:t>
        </w:r>
      </w:hyperlink>
    </w:p>
    <w:p>
      <w:pPr>
        <w:spacing w:line="360" w:after="210" w:lineRule="auto"/>
      </w:pPr>
      <w:r>
        <w:rPr>
          <w:rFonts w:eastAsia="inter" w:cs="inter" w:ascii="inter" w:hAnsi="inter"/>
          <w:color w:val="000000"/>
        </w:rPr>
        <w:t xml:space="preserve">Critères d’acceptation:</w:t>
      </w:r>
    </w:p>
    <w:p>
      <w:pPr>
        <w:numPr>
          <w:ilvl w:val="0"/>
          <w:numId w:val="6"/>
        </w:numPr>
        <w:spacing w:line="360" w:before="105" w:after="105" w:lineRule="auto"/>
      </w:pPr>
      <w:r>
        <w:rPr>
          <w:rFonts w:eastAsia="inter" w:cs="inter" w:ascii="inter" w:hAnsi="inter"/>
          <w:color w:val="000000"/>
          <w:sz w:val="21"/>
        </w:rPr>
        <w:t xml:space="preserve">RACI complet et jalons alignés aux livrables (zoning, compo isotopique, carto dose, DEM+/MC, RFQ).</w:t>
      </w:r>
      <w:bookmarkStart w:id="20" w:name="fnref1_19"/>
      <w:bookmarkEnd w:id="20"/>
      <w:hyperlink w:anchor="fn1">
        <w:r>
          <w:rPr>
            <w:rFonts w:eastAsia="inter" w:cs="inter" w:ascii="inter" w:hAnsi="inter"/>
            <w:color w:val="#000"/>
            <w:sz w:val="21"/>
            <w:u w:val="single"/>
            <w:vertAlign w:val="superscript"/>
          </w:rPr>
          <w:t xml:space="preserve">[1]</w:t>
        </w:r>
      </w:hyperlink>
    </w:p>
    <w:p>
      <w:pPr>
        <w:numPr>
          <w:ilvl w:val="0"/>
          <w:numId w:val="6"/>
        </w:numPr>
        <w:spacing w:line="360" w:before="105" w:after="105" w:lineRule="auto"/>
      </w:pPr>
      <w:r>
        <w:rPr>
          <w:rFonts w:eastAsia="inter" w:cs="inter" w:ascii="inter" w:hAnsi="inter"/>
          <w:color w:val="000000"/>
          <w:sz w:val="21"/>
        </w:rPr>
        <w:t xml:space="preserve">Hypothèses physiques explicites et sources de données listées.</w:t>
      </w:r>
      <w:bookmarkStart w:id="21" w:name="fnref1_20"/>
      <w:bookmarkEnd w:id="21"/>
      <w:hyperlink w:anchor="fn1">
        <w:r>
          <w:rPr>
            <w:rFonts w:eastAsia="inter" w:cs="inter" w:ascii="inter" w:hAnsi="inter"/>
            <w:color w:val="#000"/>
            <w:sz w:val="21"/>
            <w:u w:val="single"/>
            <w:vertAlign w:val="superscript"/>
          </w:rPr>
          <w:t xml:space="preserve">[1]</w:t>
        </w:r>
      </w:hyperlink>
    </w:p>
    <w:p>
      <w:pPr>
        <w:numPr>
          <w:ilvl w:val="0"/>
          <w:numId w:val="6"/>
        </w:numPr>
        <w:spacing w:line="360" w:before="105" w:after="105" w:lineRule="auto"/>
      </w:pPr>
      <w:r>
        <w:rPr>
          <w:rFonts w:eastAsia="inter" w:cs="inter" w:ascii="inter" w:hAnsi="inter"/>
          <w:color w:val="000000"/>
          <w:sz w:val="21"/>
        </w:rPr>
        <w:t xml:space="preserve">Plan de synchronisation clair pour itérations DEM+/MC.</w:t>
      </w:r>
      <w:bookmarkStart w:id="22" w:name="fnref1_21"/>
      <w:bookmarkEnd w:id="22"/>
      <w:hyperlink w:anchor="fn1">
        <w:r>
          <w:rPr>
            <w:rFonts w:eastAsia="inter" w:cs="inter" w:ascii="inter" w:hAnsi="inter"/>
            <w:color w:val="#000"/>
            <w:sz w:val="21"/>
            <w:u w:val="single"/>
            <w:vertAlign w:val="superscript"/>
          </w:rPr>
          <w:t xml:space="preserve">[1]</w:t>
        </w:r>
      </w:hyperlink>
    </w:p>
    <w:p>
      <w:pPr>
        <w:spacing w:line="360" w:after="210" w:lineRule="auto"/>
      </w:pPr>
      <w:r>
        <w:rPr>
          <w:rFonts w:eastAsia="inter" w:cs="inter" w:ascii="inter" w:hAnsi="inter"/>
          <w:color w:val="000000"/>
        </w:rPr>
        <w:t xml:space="preserve">Termine par:</w:t>
      </w:r>
    </w:p>
    <w:p>
      <w:pPr>
        <w:numPr>
          <w:ilvl w:val="0"/>
          <w:numId w:val="7"/>
        </w:numPr>
        <w:spacing w:line="360" w:before="105" w:after="105" w:lineRule="auto"/>
      </w:pPr>
      <w:r>
        <w:rPr>
          <w:rFonts w:eastAsia="inter" w:cs="inter" w:ascii="inter" w:hAnsi="inter"/>
          <w:color w:val="000000"/>
          <w:sz w:val="21"/>
        </w:rPr>
        <w:t xml:space="preserve">Check‑list à cocher (10 items) et «Décisions à valider direction».</w:t>
      </w:r>
      <w:bookmarkStart w:id="23" w:name="fnref1_22"/>
      <w:bookmarkEnd w:id="23"/>
      <w:hyperlink w:anchor="fn1">
        <w:r>
          <w:rPr>
            <w:rFonts w:eastAsia="inter" w:cs="inter" w:ascii="inter" w:hAnsi="inter"/>
            <w:color w:val="#000"/>
            <w:sz w:val="21"/>
            <w:u w:val="single"/>
            <w:vertAlign w:val="superscript"/>
          </w:rPr>
          <w:t xml:space="preserve">[1]</w:t>
        </w:r>
      </w:hyperlink>
    </w:p>
    <w:p>
      <w:pPr>
        <w:spacing w:line="360" w:lineRule="auto"/>
      </w:pPr>
      <w:r>
        <w:rPr>
          <w:rFonts w:eastAsia="inter" w:cs="inter" w:ascii="inter" w:hAnsi="inter"/>
          <w:color w:val="000000"/>
        </w:rPr>
        <w:t xml:space="preserve">⁂</w:t>
      </w:r>
    </w:p>
    <w:p>
      <w:pPr>
        <w:spacing w:line="360" w:before="210" w:after="0" w:lineRule="auto"/>
      </w:pPr>
      <w:r>
        <w:rPr>
          <w:noProof/>
        </w:rPr>
        <w:pict>
          <v:rect alt="" style="width:475.5pt;height:.05pt;mso-width-percent:0;mso-height-percent:0;mso-width-percent:0;mso-height-percent:0" o:hralign="center" o:hrstd="t" o:hr="f">
            <v:stroke filltype="solid" color="#000000" opacity="0" weight="1.0pt"/>
          </v:rect>
        </w:pict>
      </w:r>
    </w:p>
    <w:bookmarkStart w:id="24" w:name="fn1"/>
    <w:bookmarkEnd w:id="24"/>
    <w:p>
      <w:pPr>
        <w:numPr>
          <w:ilvl w:val="0"/>
          <w:numId w:val="9"/>
        </w:numPr>
        <w:spacing w:line="360" w:after="210" w:lineRule="auto"/>
      </w:pPr>
      <w:r>
        <w:rPr>
          <w:rFonts w:eastAsia="inter" w:cs="inter" w:ascii="inter" w:hAnsi="inter"/>
          <w:color w:val="000000"/>
          <w:sz w:val="18"/>
        </w:rPr>
        <w:t xml:space="preserve">Projet-Ingenierie-2024-2025vEnglish.pdf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r>
        <w:rPr>
          <w:rFonts w:eastAsia="inter" w:cs="inter" w:ascii="inter" w:hAnsi="inter"/>
          <w:color w:val="000000"/>
          <w:sz w:val="18"/>
        </w:rPr>
        <w:t xml:space="preserve"> </w:t>
      </w:r>
    </w:p>
    <w:sectPr>
      <w:pgSz w:w="12240" w:h="15840" w:orient="portrait"/>
      <w:pgMar w:top="1365" w:right="1365" w:bottom="1365" w:left="1365" w:header="720" w:footer="720" w:gutter="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inter">
    <w:family w:val="auto"/>
    <w:pitch w:val="variable"/>
  </w:font>
</w:fonts>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ne="http://schemas.microsoft.com/office/word/2006/wordml">
  <w:abstractNum w:abstractNumId="1">
    <w:multiLevelType w:val="hybridMultilevel"/>
    <w:lvl w:ilvl="0">
      <w:start w:val="1"/>
      <w:numFmt w:val="bullet"/>
      <w:lvlText w:val=""/>
      <w:lvlJc w:val="left"/>
      <w:pPr>
        <w:tabs>
          <w:tab w:val="num" w:pos="900"/>
        </w:tabs>
        <w:ind w:left="540" w:hanging="360"/>
      </w:pPr>
      <w:rPr>
        <w:rFonts w:ascii="Symbol" w:hAnsi="Symbol" w:hint="default"/>
      </w:rPr>
    </w:lvl>
  </w:abstractNum>
  <w:abstractNum w:abstractNumId="2">
    <w:multiLevelType w:val="hybridMultilevel"/>
    <w:lvl w:ilvl="0">
      <w:start w:val="1"/>
      <w:numFmt w:val="bullet"/>
      <w:lvlText w:val=""/>
      <w:lvlJc w:val="left"/>
      <w:pPr>
        <w:tabs>
          <w:tab w:val="num" w:pos="900"/>
        </w:tabs>
        <w:ind w:left="540" w:hanging="360"/>
      </w:pPr>
      <w:rPr>
        <w:rFonts w:ascii="Symbol" w:hAnsi="Symbol" w:hint="default"/>
      </w:rPr>
    </w:lvl>
  </w:abstractNum>
  <w:abstractNum w:abstractNumId="3">
    <w:multiLevelType w:val="hybridMultilevel"/>
    <w:lvl w:ilvl="0">
      <w:start w:val="1"/>
      <w:numFmt w:val="bullet"/>
      <w:lvlText w:val=""/>
      <w:lvlJc w:val="left"/>
      <w:pPr>
        <w:tabs>
          <w:tab w:val="num" w:pos="900"/>
        </w:tabs>
        <w:ind w:left="540" w:hanging="360"/>
      </w:pPr>
      <w:rPr>
        <w:rFonts w:ascii="Symbol" w:hAnsi="Symbol" w:hint="default"/>
      </w:rPr>
    </w:lvl>
    <w:lvl w:ilvl="1">
      <w:start w:val="1"/>
      <w:numFmt w:val="bullet"/>
      <w:lvlText w:val="o"/>
      <w:lvlJc w:val="left"/>
      <w:pPr>
        <w:tabs>
          <w:tab w:val="num" w:pos="1440"/>
        </w:tabs>
        <w:ind w:left="1080" w:hanging="360"/>
      </w:pPr>
      <w:rPr>
        <w:rFonts w:ascii="Courier New" w:hAnsi="Courier New" w:cs="Courier New" w:hint="default"/>
      </w:rPr>
    </w:lvl>
  </w:abstractNum>
  <w:abstractNum w:abstractNumId="4">
    <w:multiLevelType w:val="hybridMultilevel"/>
    <w:lvl w:ilvl="0">
      <w:start w:val="1"/>
      <w:numFmt w:val="bullet"/>
      <w:lvlText w:val=""/>
      <w:lvlJc w:val="left"/>
      <w:pPr>
        <w:tabs>
          <w:tab w:val="num" w:pos="900"/>
        </w:tabs>
        <w:ind w:left="540" w:hanging="360"/>
      </w:pPr>
      <w:rPr>
        <w:rFonts w:ascii="Symbol" w:hAnsi="Symbol" w:hint="default"/>
      </w:rPr>
    </w:lvl>
  </w:abstractNum>
  <w:abstractNum w:abstractNumId="5">
    <w:multiLevelType w:val="hybridMultilevel"/>
    <w:lvl w:ilvl="0">
      <w:start w:val="1"/>
      <w:numFmt w:val="bullet"/>
      <w:lvlText w:val=""/>
      <w:lvlJc w:val="left"/>
      <w:pPr>
        <w:tabs>
          <w:tab w:val="num" w:pos="900"/>
        </w:tabs>
        <w:ind w:left="540" w:hanging="360"/>
      </w:pPr>
      <w:rPr>
        <w:rFonts w:ascii="Symbol" w:hAnsi="Symbol" w:hint="default"/>
      </w:rPr>
    </w:lvl>
  </w:abstractNum>
  <w:abstractNum w:abstractNumId="6">
    <w:multiLevelType w:val="hybridMultilevel"/>
    <w:lvl w:ilvl="0">
      <w:start w:val="1"/>
      <w:numFmt w:val="bullet"/>
      <w:lvlText w:val=""/>
      <w:lvlJc w:val="left"/>
      <w:pPr>
        <w:tabs>
          <w:tab w:val="num" w:pos="900"/>
        </w:tabs>
        <w:ind w:left="540" w:hanging="360"/>
      </w:pPr>
      <w:rPr>
        <w:rFonts w:ascii="Symbol" w:hAnsi="Symbol" w:hint="default"/>
      </w:rPr>
    </w:lvl>
  </w:abstractNum>
  <w:abstractNum w:abstractNumId="7">
    <w:multiLevelType w:val="hybridMultilevel"/>
    <w:lvl w:ilvl="0">
      <w:start w:val="1"/>
      <w:numFmt w:val="bullet"/>
      <w:lvlText w:val=""/>
      <w:lvlJc w:val="left"/>
      <w:pPr>
        <w:tabs>
          <w:tab w:val="num" w:pos="900"/>
        </w:tabs>
        <w:ind w:left="540" w:hanging="360"/>
      </w:pPr>
      <w:rPr>
        <w:rFonts w:ascii="Symbol" w:hAnsi="Symbol" w:hint="default"/>
      </w:rPr>
    </w:lvl>
  </w:abstractNum>
  <w:abstractNum w:abstractNumId="8">
    <w:multiLevelType w:val="hybridMultilevel"/>
  </w:abstractNum>
  <w:abstractNum w:abstractNumId="9">
    <w:multiLevelType w:val="hybridMultilevel"/>
    <w:lvl w:ilvl="0">
      <w:start w:val="1"/>
      <w:numFmt w:val="decimal"/>
      <w:lvlText w:val="%1."/>
      <w:lvlJc w:val="left"/>
      <w:pPr>
        <w:tabs>
          <w:tab w:val="num" w:pos="900"/>
        </w:tabs>
        <w:ind w:left="54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decimalSymbol w:val="."/>
  <w:listSeparator w:val=","/>
</w:settings>
</file>

<file path=word/styles.xml><?xml version="1.0" encoding="utf-8"?>
<w:styles xmlns:w="http://schemas.openxmlformats.org/wordprocessingml/2006/main" xmlns:r="http://schemas.openxmlformats.org/officeDocument/2006/relationships">
  <w:docDefaults>
    <w:rPrDefault>
      <w:rPr>
        <w:rFonts w:ascii="Georgia" w:eastAsiaTheme="minorHAnsi" w:hAnsiTheme="minorHAnsi" w:cstheme="minorBidi"/>
        <w:sz w:val="21"/>
        <w:szCs w:val="22"/>
        <w:lang w:val="fr-FR" w:eastAsia="en-US" w:bidi="ar-SA"/>
      </w:rPr>
    </w:rPrDefault>
    <w:pPrDefault>
      <w:pPr>
        <w:spacing w:after="120" w:line="240" w:lineRule="atLeast"/>
      </w:pPr>
    </w:pPrDefault>
  </w:docDefaults>
  <w:style w:type="paragraph" w:default="1" w:styleId="Normal">
    <w:name w:val="Normal"/>
    <w:next w:val="Normal"/>
    <w:pPr/>
    <w:rPr>
      <w:rFonts w:ascii="Georgia" w:eastAsiaTheme="minorHAnsi" w:hAnsiTheme="minorHAnsi" w:cstheme="minorBidi"/>
      <w:sz w:val="21"/>
      <w:szCs w:val="22"/>
      <w:lang w:val="fr-FR" w:eastAsia="en-US" w:bidi="ar-SA"/>
    </w:rPr>
  </w:style>
  <w:style w:type="character" w:customStyle="1" w:styleId="VerbatimChar">
    <w:name w:val="Verbatim Char"/>
    <w:basedOn w:val="BodyTextChar"/>
    <w:rPr>
      <w:rFonts w:ascii="Consolas" w:hAnsi="Consolas"/>
      <w:sz w:val="22"/>
    </w:rPr>
  </w:style>
</w:styles>
</file>

<file path=word/webSettings.xml><?xml version="1.0" encoding="utf-8"?>
<w:webSetting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07c5a76b3c753cb3a8f67a10dbc9597118bb2e84.png" TargetMode="Internal"/></Relationship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html-to-docx</cp:lastModifiedBy>
  <cp:revision>1</cp:revision>
  <dcterms:created xsi:type="dcterms:W3CDTF">2025-11-03T16:47:33.183Z</dcterms:created>
  <dcterms:modified xsi:type="dcterms:W3CDTF">2025-11-03T16:47:33.183Z</dcterms:modified>
</cp:coreProperties>
</file>